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0" w:before="0" w:line="295" w:lineRule="auto"/>
        <w:jc w:val="center"/>
        <w:rPr>
          <w:rFonts w:ascii="Montserrat" w:cs="Montserrat" w:eastAsia="Montserrat" w:hAnsi="Montserrat"/>
          <w:b w:val="1"/>
          <w:color w:val="8a82e9"/>
          <w:sz w:val="72"/>
          <w:szCs w:val="72"/>
        </w:rPr>
      </w:pPr>
      <w:bookmarkStart w:colFirst="0" w:colLast="0" w:name="_okpjofa318el" w:id="0"/>
      <w:bookmarkEnd w:id="0"/>
      <w:r w:rsidDel="00000000" w:rsidR="00000000" w:rsidRPr="00000000">
        <w:rPr>
          <w:rFonts w:ascii="Montserrat" w:cs="Montserrat" w:eastAsia="Montserrat" w:hAnsi="Montserrat"/>
          <w:b w:val="1"/>
          <w:color w:val="8a82e9"/>
          <w:sz w:val="72"/>
          <w:szCs w:val="72"/>
          <w:rtl w:val="0"/>
        </w:rPr>
        <w:t xml:space="preserve">Нормативные документы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6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Приказ Министерства просвещения Российской Федерации от 24.03.2023 № 196«Об утверждении Порядка проведения аттестации педагогических работников организаций, осуществляющих образовательную деятельность»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п. 35 и п. 36 указаны требования к первой и к высшей квалификационным категориям соответственно; раздел IV — Аттестация педагогических работников в целях установления квалификационной категории «педагог-методист» или «педагог-наставник».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7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Федеральный закон от 29 декабря 2012 г. N 273 – ФЗ «Об образовании в Российской Федерации»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главе 5 «Педагогические, руководящие и иные работники организаций, осуществляющих образовательную деятельность» установлены требования к лицам, имеющим право осуществлять педагогическую деятельность, обязанности и ответственность педагогических работников, цели проведения аттестации педагогических работников, а также порядок проведения аттестации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8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Федеральный закон от 17 февраля 2023 г. N 19 – ФЗ «О б особенностях правового регулирования отношений в сферах образования и науки в связи с принятием в Российскую Федерацию Донецкой Народной Республики, Луганской Народной Республики, Запорожской области, Херсонской области и образованием в составе Российской Федерации новых субъектов - Донецкой Народной Республики, Луганской Народной Республики, Запорожской области, Херсонской области и о внесении изменений в отдельные законодательные акты Российской Федерации»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статье 7 «Педагогические и научно-педагогические работники» установлено правовое регулирование вопросов в отношении прохождения аттестации педагогических работников, проживавших на территориях Донецкой Народной Республики, Луганской Народной Республики, Запорожской области, Херсонской области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9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Федеральный закон от 30 апреля 2021 г. N 127-ФЗ «О внесении изменений в Федеральный закон "О физической культуре и спорте в Российской Федерации" и Федеральный закон "Об образовании в Российской Федерации"»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статье 3 установлено правовое регулирование вопросов в отношении лиц, переведенных на должности тренера-преподавателя, старшего тренера-преподавателя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0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Письмо Министерства просвещения Российской Федерации от 24.01.2023 № АБ-162/08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данном документе размещены ответы на часто задаваемые вопросы, касающиеся продолжительности рабочего времени, времени отдыха и аттестации лиц, переведенных с их письменного согласия на должности тренера-преподавателя, старшего тренера-преподавателя в соответствии с Федеральным законом от 30 апреля 2021 г. № 127-ФЗ «О внесении изменений в Федеральный закон «О физической культуре и спорте в Российской Федерации» и Федеральный закон «Об образовании в Российской Федерации»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1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Постановление Правительства Российской Федерации от 21 февраля 2022 г. N 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подразделе 2 раздела I номенклатуры перечислены педагогические должности (29 наименований), к которым применим «Порядок проведения аттестации педагогических работников организаций, осуществляющих образовательную деятельность», утвержденный Приказом Министерства образования и науки РФ от 7 апреля 2014 г. N 276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2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Приказ Министерства образования и науки Российской Федерации от 7 апреля 2014 г. N 276 «Порядок проведения аттестации педагогических работников организаций, осуществляющих образовательную деятельность» (с изменениями)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п.36 и п.37 указаны требования к первой и к высшей квалификационным категориям соответственно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3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Письмо Министерства образования и науки Российской Федерации от 3 декабря 2014 года N 08-1933/505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данном документе даны разъяснения по применению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образования и науки Р Ф от 7 апреля 2014 г. N 276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4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Письмо Министерства образования и науки Российской Федерации от 23 марта 2015 г. № 08-415/124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данном документе даны разъяснения по вопросам реализации права педагогических работников на дополнительное профессиональное образование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5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Приказ Министерства образования и молодежной политики Свердловской области от 02.12.2022 № 1144-Д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организаций муниципальных и частных организаций, осуществляющих образовательную деятельность»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данном документе утверждена форма заявления на аттестацию в целях установления квалификационной категории. Педагогический работник направляет в аттестационную комиссию Министерства образования и молодежной политики Свердловской области заявление на аттестацию в целях установления квалификационной категории одним из перечисленных способов: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1. Лично непосредственно в аттестационную комиссию.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2. Направляет в адрес аттестационной комиссии заявление с нотариально удостоверенной подписью заявителя по почте письмом с уведомлением о вручении.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3. Заполняет интерактивную форму на портале «Госуслуги», прикрепляет заверенную руководителем образовательной организации скан-копию документа, подтверждающего, что заявитель состоит в трудовых, служебных отношениях с организацией, осуществляющей образовательную деятельность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6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Приказ Министерства образования и молодежной политики Свердловской области от 17.03.2023 № 369-Д «Об утверждении регламента работы Аттестационной комиссии Министерства образования и молодежной политики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данном документе утверждены формы документов: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• информационно-аналитическая справка работодателя,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• протокол оценки,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• заключение по результатам анализа (в случае несоответствия оценки требованиям к квалификационной категории),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• регистрационная карта.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7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Соглашение между Министерством образования и молодежной политики Свердловской области и Свердловской областной организацией Профсоюза работников народного образования и науки Российской Федерации на 2021-2023 г.г.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В п.п. 3.5.1-3.5.6 регламентированы меры социальной поддержки, льгот и гарантий педагогических работников, касающиеся вопросов аттестации педагогических работников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Montserrat" w:cs="Montserrat" w:eastAsia="Montserrat" w:hAnsi="Montserrat"/>
          <w:b w:val="1"/>
          <w:color w:val="1155cc"/>
          <w:sz w:val="28"/>
          <w:szCs w:val="28"/>
        </w:rPr>
      </w:pPr>
      <w:hyperlink r:id="rId18">
        <w:r w:rsidDel="00000000" w:rsidR="00000000" w:rsidRPr="00000000">
          <w:rPr>
            <w:rFonts w:ascii="Montserrat" w:cs="Montserrat" w:eastAsia="Montserrat" w:hAnsi="Montserrat"/>
            <w:b w:val="1"/>
            <w:color w:val="1155cc"/>
            <w:sz w:val="28"/>
            <w:szCs w:val="28"/>
            <w:rtl w:val="0"/>
          </w:rPr>
          <w:t xml:space="preserve">Форма договора возмездного выполнения работ в 2023 году со специалистом, привлекаемым для осуществления всестороннего анализа профессиональной деятельности педагогических работников, аттестующихся в целях установления квалификационных категорий, с рабочей группой Аттестационной комиссии Министерства образования и молодежной политики Свердловской области при ГАОУ ДПО СО «ИРО»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Montserrat" w:cs="Montserrat" w:eastAsia="Montserrat" w:hAnsi="Montserrat"/>
          <w:sz w:val="28"/>
          <w:szCs w:val="28"/>
        </w:rPr>
      </w:pPr>
      <w:r w:rsidDel="00000000" w:rsidR="00000000" w:rsidRPr="00000000">
        <w:rPr>
          <w:rFonts w:ascii="Montserrat" w:cs="Montserrat" w:eastAsia="Montserrat" w:hAnsi="Montserrat"/>
          <w:sz w:val="28"/>
          <w:szCs w:val="28"/>
          <w:rtl w:val="0"/>
        </w:rPr>
        <w:t xml:space="preserve">Реестр договоров и договоры необходимо предоставить в отдел организации и сопровождения аттестации работников системы образования в сроки, указанные в Графике предоставления договоров.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isk.yandex.ru/i/8JVUdtnBF7Pdwg" TargetMode="External"/><Relationship Id="rId10" Type="http://schemas.openxmlformats.org/officeDocument/2006/relationships/hyperlink" Target="https://disk.yandex.ru/d/OR6UrccqhS-NFw" TargetMode="External"/><Relationship Id="rId13" Type="http://schemas.openxmlformats.org/officeDocument/2006/relationships/hyperlink" Target="https://disk.yandex.ru/i/W13kibhPxHgWAQ" TargetMode="External"/><Relationship Id="rId12" Type="http://schemas.openxmlformats.org/officeDocument/2006/relationships/hyperlink" Target="https://disk.yandex.ru/d/y9eUfTvN8WZSNg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consultant.ru/document/cons_doc_LAW_383365/" TargetMode="External"/><Relationship Id="rId15" Type="http://schemas.openxmlformats.org/officeDocument/2006/relationships/hyperlink" Target="https://minobraz.egov66.ru/site/section?id=482" TargetMode="External"/><Relationship Id="rId14" Type="http://schemas.openxmlformats.org/officeDocument/2006/relationships/hyperlink" Target="https://disk.yandex.ru/i/djTXdY8_p1T1hA" TargetMode="External"/><Relationship Id="rId17" Type="http://schemas.openxmlformats.org/officeDocument/2006/relationships/hyperlink" Target="https://www.eseur.ru/sverdlovsk/Soglasheniya/" TargetMode="External"/><Relationship Id="rId16" Type="http://schemas.openxmlformats.org/officeDocument/2006/relationships/hyperlink" Target="https://minobraz.egov66.ru/site/section?id=185" TargetMode="External"/><Relationship Id="rId5" Type="http://schemas.openxmlformats.org/officeDocument/2006/relationships/styles" Target="styles.xml"/><Relationship Id="rId6" Type="http://schemas.openxmlformats.org/officeDocument/2006/relationships/hyperlink" Target="https://disk.yandex.ru/i/8ion7XUc9X2kvw" TargetMode="External"/><Relationship Id="rId18" Type="http://schemas.openxmlformats.org/officeDocument/2006/relationships/hyperlink" Target="https://disk.yandex.ru/d/l7IZePRbqLSahQ" TargetMode="External"/><Relationship Id="rId7" Type="http://schemas.openxmlformats.org/officeDocument/2006/relationships/hyperlink" Target="https://www.consultant.ru/document/cons_doc_LAW_140174/" TargetMode="External"/><Relationship Id="rId8" Type="http://schemas.openxmlformats.org/officeDocument/2006/relationships/hyperlink" Target="http://www.consultant.ru/document/cons_doc_LAW_439909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