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95" w:lineRule="auto"/>
        <w:jc w:val="center"/>
        <w:rPr>
          <w:rFonts w:ascii="Montserrat" w:cs="Montserrat" w:eastAsia="Montserrat" w:hAnsi="Montserrat"/>
          <w:b w:val="1"/>
          <w:color w:val="8a82e9"/>
          <w:sz w:val="72"/>
          <w:szCs w:val="72"/>
        </w:rPr>
      </w:pPr>
      <w:bookmarkStart w:colFirst="0" w:colLast="0" w:name="_okpjofa318el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8a82e9"/>
          <w:sz w:val="72"/>
          <w:szCs w:val="72"/>
          <w:rtl w:val="0"/>
        </w:rPr>
        <w:t xml:space="preserve">Нормативные документы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Приказ Министерства просвещения Российской Федерации от 24.03.2023 № 196«Об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п. 35 и п. 36 указаны требования к первой и к высшей квалификационным категориям соответственно; раздел IV — Аттестация педагогических работников в целях установления квалификационной категории «педагог-методист» или «педагог-наставник».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Федеральный закон от 29 декабря 2012 г. N 273 – ФЗ «Об образовании в Российской Федерации»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главе 5 «Педагогические, руководящие и иные работники организаций, осуществляющих образовательную деятельность» установлены требования к лицам, имеющим право осуществлять педагогическую деятельность, обязанности и ответственность педагогических работников, цели проведения аттестации педагогических работников, а также порядок проведения аттестации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Федеральный закон от 17 февраля 2023 г. N 19 – ФЗ «О 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статье 7 «Педагогические и научно-педагогические работники» установлено правовое регулирование вопросов в отношении прохождения аттестации педагогических работников, проживавших на территориях Донецкой Народной Республики, Луганской Народной Республики, Запорожской области, Херсонской области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Федеральный закон от 30 апреля 2021 г. N 127-ФЗ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статье 3 установлено правовое регулирование вопросов в отношении лиц, переведенных на должности тренера-преподавателя, старшего тренера-преподавателя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Письмо Министерства просвещения Российской Федерации от 24.01.2023 № АБ-162/08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данном документе размещены ответы на часто задаваемые вопросы, касающиеся продолжительности рабочего времени, времени отдыха и аттестации лиц, переведенных с их письменного согласия на должности тренера-преподавателя, старшего тренера-преподавателя в соответствии с Федеральным законом 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Постановление Правительства Российской Федерации от 21 февраля 2022 г.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подразделе 2 раздела I номенклатуры перечислены педагогические должности (29 наименований), к которым применим «Порядок проведения аттестации педагогических работников организаций, осуществляющих образовательную деятельность», утвержденный Приказом Министерства образования и науки РФ от 7 апреля 2014 г. N 276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2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Приказ Министерства образования и науки Российской Федерации от 7 апреля 2014 г. N 276 «Порядок проведения аттестации педагогических работников организаций, осуществляющих образовательную деятельность» (с изменениями)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п.36 и п.37 указаны требования к первой и к высшей квалификационным категориям соответственно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3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Письмо Министерства образования и науки Российской Федерации от 3 декабря 2014 года N 08-1933/505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данном документе даны разъяснения по применению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 Ф от 7 апреля 2014 г. N 276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4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Письмо Министерства образования и науки Российской Федерации от 23 марта 2015 г. № 08-415/124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данном документе даны разъяснения по вопросам реализации права педагогических работников на дополнительное профессиональное образование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5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организаций муниципальных и частных организаций, осуществляющих образовательную деятельность»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данном документе утверждена форма заявления на аттестацию в целях установления квалификационной категории. Педагогический работник направляет в аттестационную комиссию Министерства образования и молодежной политики Свердловской области заявление на аттестацию в целях установления квалификационной категории одним из перечисленных способов: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1. Лично непосредственно в аттестационную комиссию.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2. Направляет в адрес аттестационной комиссии заявление с нотариально удостоверенной подписью заявителя по почте письмом с уведомлением о вручении.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3. Заполняет интерактивную форму на портале «Госуслуги», прикрепляет заверенную руководителем образовательной организации скан-копию документа, подтверждающего, что заявитель состоит в трудовых, служебных отношениях с организацией, осуществляющей образовательную деятельность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Приказ Министерства образования и молодежной политики Свердловской области от 17.03.2023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данном документе утверждены формы документов: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• информационно-аналитическая справка работодателя,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• протокол оценки,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• заключение по результатам анализа (в случае несоответствия оценки требованиям к квалификационной категории),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• регистрационная карта.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Соглашение между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2021-2023 г.г.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В п.п. 3.5.1-3.5.6 регламентированы меры социальной поддержки, льгот и гарантий педагогических работников, касающиеся вопросов аттестации педагогических работников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1155cc"/>
          <w:sz w:val="28"/>
          <w:szCs w:val="28"/>
        </w:rPr>
      </w:pPr>
      <w:hyperlink r:id="rId1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rtl w:val="0"/>
          </w:rPr>
          <w:t xml:space="preserve">Форма договора возмездного выполнения работ в 2023 году со специалистом, привлекаемым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категорий, с рабочей группой Аттестационной комиссии Министерства образования и молодежной политики Свердловской области при ГАОУ ДПО СО «ИРО»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Реестр договоров и договоры необходимо предоставить в отдел организации и сопровождения аттестации работников системы образования в сроки, указанные в Графике предоставления договоров.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sk.yandex.ru/i/8JVUdtnBF7Pdwg" TargetMode="External"/><Relationship Id="rId10" Type="http://schemas.openxmlformats.org/officeDocument/2006/relationships/hyperlink" Target="https://disk.yandex.ru/d/OR6UrccqhS-NFw" TargetMode="External"/><Relationship Id="rId13" Type="http://schemas.openxmlformats.org/officeDocument/2006/relationships/hyperlink" Target="https://disk.yandex.ru/i/W13kibhPxHgWAQ" TargetMode="External"/><Relationship Id="rId12" Type="http://schemas.openxmlformats.org/officeDocument/2006/relationships/hyperlink" Target="https://disk.yandex.ru/d/y9eUfTvN8WZS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383365/" TargetMode="External"/><Relationship Id="rId15" Type="http://schemas.openxmlformats.org/officeDocument/2006/relationships/hyperlink" Target="https://minobraz.egov66.ru/site/section?id=482" TargetMode="External"/><Relationship Id="rId14" Type="http://schemas.openxmlformats.org/officeDocument/2006/relationships/hyperlink" Target="https://disk.yandex.ru/i/djTXdY8_p1T1hA" TargetMode="External"/><Relationship Id="rId17" Type="http://schemas.openxmlformats.org/officeDocument/2006/relationships/hyperlink" Target="https://www.eseur.ru/sverdlovsk/Soglasheniya/" TargetMode="External"/><Relationship Id="rId16" Type="http://schemas.openxmlformats.org/officeDocument/2006/relationships/hyperlink" Target="https://minobraz.egov66.ru/site/section?id=185" TargetMode="External"/><Relationship Id="rId5" Type="http://schemas.openxmlformats.org/officeDocument/2006/relationships/styles" Target="styles.xml"/><Relationship Id="rId6" Type="http://schemas.openxmlformats.org/officeDocument/2006/relationships/hyperlink" Target="https://disk.yandex.ru/i/8ion7XUc9X2kvw" TargetMode="External"/><Relationship Id="rId18" Type="http://schemas.openxmlformats.org/officeDocument/2006/relationships/hyperlink" Target="https://disk.yandex.ru/d/l7IZePRbqLSahQ" TargetMode="External"/><Relationship Id="rId7" Type="http://schemas.openxmlformats.org/officeDocument/2006/relationships/hyperlink" Target="https://www.consultant.ru/document/cons_doc_LAW_140174/" TargetMode="External"/><Relationship Id="rId8" Type="http://schemas.openxmlformats.org/officeDocument/2006/relationships/hyperlink" Target="http://www.consultant.ru/document/cons_doc_LAW_43990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