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68" w:rsidRDefault="00F54468" w:rsidP="00F54468">
      <w:pPr>
        <w:pStyle w:val="Default"/>
      </w:pPr>
    </w:p>
    <w:p w:rsidR="005C3B69" w:rsidRPr="005C3B69" w:rsidRDefault="005C3B69" w:rsidP="005C3B69">
      <w:pPr>
        <w:shd w:val="clear" w:color="auto" w:fill="FFFFFF"/>
        <w:spacing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C3B6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Обязанности пешеходов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световозвращающими</w:t>
      </w:r>
      <w:proofErr w:type="spell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3. </w:t>
      </w:r>
      <w:proofErr w:type="gram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</w:t>
      </w: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переход можно лишь убедившись</w:t>
      </w:r>
      <w:proofErr w:type="gram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7. При приближении транспортных средств с </w:t>
      </w:r>
      <w:proofErr w:type="gram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включенными</w:t>
      </w:r>
      <w:proofErr w:type="gram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Обязанности пассажиров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1. Пассажиры обязаны: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2. Пассажирам запрещается:</w:t>
      </w:r>
    </w:p>
    <w:p w:rsidR="005C3B69" w:rsidRPr="005C3B69" w:rsidRDefault="005C3B69" w:rsidP="005C3B69">
      <w:pPr>
        <w:shd w:val="clear" w:color="auto" w:fill="FFFFFF"/>
        <w:spacing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Symbol" w:eastAsia="Times New Roman" w:hAnsi="Symbol" w:cs="Tahoma"/>
          <w:color w:val="5B5B5B"/>
          <w:sz w:val="24"/>
          <w:szCs w:val="24"/>
          <w:lang w:eastAsia="ru-RU"/>
        </w:rPr>
        <w:t></w:t>
      </w:r>
      <w:r w:rsidRPr="005C3B69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отвлекать водителя от управления транспортным средством во время его движения;</w:t>
      </w:r>
    </w:p>
    <w:p w:rsidR="005C3B69" w:rsidRPr="005C3B69" w:rsidRDefault="005C3B69" w:rsidP="005C3B69">
      <w:pPr>
        <w:shd w:val="clear" w:color="auto" w:fill="FFFFFF"/>
        <w:spacing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Symbol" w:eastAsia="Times New Roman" w:hAnsi="Symbol" w:cs="Tahoma"/>
          <w:color w:val="5B5B5B"/>
          <w:sz w:val="24"/>
          <w:szCs w:val="24"/>
          <w:lang w:eastAsia="ru-RU"/>
        </w:rPr>
        <w:t></w:t>
      </w:r>
      <w:r w:rsidRPr="005C3B69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5C3B69" w:rsidRPr="005C3B69" w:rsidRDefault="005C3B69" w:rsidP="005C3B69">
      <w:pPr>
        <w:shd w:val="clear" w:color="auto" w:fill="FFFFFF"/>
        <w:spacing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Symbol" w:eastAsia="Times New Roman" w:hAnsi="Symbol" w:cs="Tahoma"/>
          <w:color w:val="5B5B5B"/>
          <w:sz w:val="24"/>
          <w:szCs w:val="24"/>
          <w:lang w:eastAsia="ru-RU"/>
        </w:rPr>
        <w:t></w:t>
      </w:r>
      <w:r w:rsidRPr="005C3B69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открывать двери транспортного средства во время его движения.</w:t>
      </w:r>
    </w:p>
    <w:p w:rsidR="005C3B69" w:rsidRPr="005C3B69" w:rsidRDefault="005C3B69" w:rsidP="005C3B69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Обязанности велосипедистов, скутеристов и др.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i/>
          <w:iCs/>
          <w:color w:val="5B5B5B"/>
          <w:sz w:val="24"/>
          <w:szCs w:val="24"/>
          <w:lang w:eastAsia="ru-RU"/>
        </w:rPr>
        <w:t>Памятка велосипедиста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I. Общие положения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нарушающий</w:t>
      </w:r>
      <w:proofErr w:type="gram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Каковы же требования к велосипедистам, участвующим в уличном движении?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Прежде </w:t>
      </w:r>
      <w:proofErr w:type="gram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всего</w:t>
      </w:r>
      <w:proofErr w:type="gram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II. Обязанности велосипедиста при движении по улицам города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</w:t>
      </w:r>
      <w:r w:rsidRPr="005C3B6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Дорожные сигнальные знаки.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наличии знака </w:t>
      </w:r>
      <w:r w:rsidRPr="005C3B69">
        <w:rPr>
          <w:rFonts w:ascii="Cambria" w:eastAsia="Times New Roman" w:hAnsi="Cambria" w:cs="Tahoma"/>
          <w:i/>
          <w:iCs/>
          <w:color w:val="5B5B5B"/>
          <w:sz w:val="24"/>
          <w:szCs w:val="24"/>
          <w:lang w:eastAsia="ru-RU"/>
        </w:rPr>
        <w:t>«Сквозной проезд запрещен»</w:t>
      </w: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Зона действия знака </w:t>
      </w:r>
      <w:r w:rsidRPr="005C3B69">
        <w:rPr>
          <w:rFonts w:ascii="Cambria" w:eastAsia="Times New Roman" w:hAnsi="Cambria" w:cs="Tahoma"/>
          <w:i/>
          <w:iCs/>
          <w:color w:val="5B5B5B"/>
          <w:sz w:val="24"/>
          <w:szCs w:val="24"/>
          <w:lang w:eastAsia="ru-RU"/>
        </w:rPr>
        <w:t>«Въезд запрещен»</w:t>
      </w: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Сигналы светофора и жесты милиционера-регулировщика.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По первому требованию сотрудника милиции велосипедист обязан остановиться.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III. Велосипедисту запрещается: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а) управлять велосипедом в степени хотя бы легкого опьянения;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б) ездить на велосипеде, не соответствующем росту велосипедиста;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в) ездить по тротуарам и пешеходным дорожкам садов, парков и бульваров;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г) держаться при движении на расстоянии более одного метра от тротуара (обочины);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spell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д</w:t>
      </w:r>
      <w:proofErr w:type="spell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) ездить по двое и более в ряд или обгонять друг друга;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е) обучаться езде в местах, где имеется движение транспорта и пешеходов;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ж) ездить, не держась за руль руками;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spell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</w:t>
      </w:r>
      <w:proofErr w:type="spell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) при движении держаться за проходящий транспорт или за другого велосипедиста;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Обязанности скутеристов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Уголовная ответственность за ДТП скутеристов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</w:t>
      </w: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чем автолюбителей. Скутеристу, сбившему человека, грозит до семи лет лишения свободы.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Особое внимание обращаем родителей решивших приобрести своему чаду скутер. </w:t>
      </w:r>
      <w:proofErr w:type="gram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Приобретая такое транспортное средство Вы ставите</w:t>
      </w:r>
      <w:proofErr w:type="gram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здоровье, а иногда и саму жизнь несовершеннолетнего под угрозу. В отношении таких </w:t>
      </w:r>
      <w:proofErr w:type="gram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горе-родителей</w:t>
      </w:r>
      <w:proofErr w:type="gram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возможно применение санкций статьи 5.35 </w:t>
      </w:r>
      <w:proofErr w:type="spell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КоАП</w:t>
      </w:r>
      <w:proofErr w:type="spell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РФ.</w:t>
      </w:r>
    </w:p>
    <w:p w:rsidR="005C3B69" w:rsidRPr="005C3B69" w:rsidRDefault="005C3B69" w:rsidP="005C3B6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значит</w:t>
      </w:r>
      <w:proofErr w:type="gramEnd"/>
      <w:r w:rsidRPr="005C3B69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его можно избежать. Удачи на дорогах!</w:t>
      </w:r>
    </w:p>
    <w:p w:rsidR="000F7CC7" w:rsidRPr="00F54468" w:rsidRDefault="000F7CC7" w:rsidP="009647C8">
      <w:pPr>
        <w:pStyle w:val="Default"/>
        <w:jc w:val="center"/>
      </w:pPr>
    </w:p>
    <w:sectPr w:rsidR="000F7CC7" w:rsidRPr="00F54468" w:rsidSect="000F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1"/>
  <w:revisionView w:inkAnnotations="0"/>
  <w:defaultTabStop w:val="708"/>
  <w:characterSpacingControl w:val="doNotCompress"/>
  <w:compat/>
  <w:rsids>
    <w:rsidRoot w:val="00F54468"/>
    <w:rsid w:val="000F7CC7"/>
    <w:rsid w:val="00252F02"/>
    <w:rsid w:val="005C3B69"/>
    <w:rsid w:val="007741B9"/>
    <w:rsid w:val="008B771E"/>
    <w:rsid w:val="009647C8"/>
    <w:rsid w:val="00B3100A"/>
    <w:rsid w:val="00EB61C0"/>
    <w:rsid w:val="00F5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0"/>
  </w:style>
  <w:style w:type="paragraph" w:styleId="1">
    <w:name w:val="heading 1"/>
    <w:basedOn w:val="a"/>
    <w:link w:val="10"/>
    <w:uiPriority w:val="9"/>
    <w:qFormat/>
    <w:rsid w:val="005C3B6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446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4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tle-single">
    <w:name w:val="title-single"/>
    <w:basedOn w:val="a0"/>
    <w:rsid w:val="00F54468"/>
  </w:style>
  <w:style w:type="character" w:customStyle="1" w:styleId="date">
    <w:name w:val="date"/>
    <w:basedOn w:val="a0"/>
    <w:rsid w:val="00F54468"/>
  </w:style>
  <w:style w:type="character" w:styleId="a3">
    <w:name w:val="Hyperlink"/>
    <w:basedOn w:val="a0"/>
    <w:uiPriority w:val="99"/>
    <w:semiHidden/>
    <w:unhideWhenUsed/>
    <w:rsid w:val="00F54468"/>
    <w:rPr>
      <w:color w:val="0000FF"/>
      <w:u w:val="single"/>
    </w:rPr>
  </w:style>
  <w:style w:type="character" w:customStyle="1" w:styleId="author">
    <w:name w:val="author"/>
    <w:basedOn w:val="a0"/>
    <w:rsid w:val="00F54468"/>
  </w:style>
  <w:style w:type="paragraph" w:styleId="a4">
    <w:name w:val="Normal (Web)"/>
    <w:basedOn w:val="a"/>
    <w:uiPriority w:val="99"/>
    <w:semiHidden/>
    <w:unhideWhenUsed/>
    <w:rsid w:val="00F5446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4468"/>
    <w:rPr>
      <w:b/>
      <w:bCs/>
    </w:rPr>
  </w:style>
  <w:style w:type="paragraph" w:customStyle="1" w:styleId="Default">
    <w:name w:val="Default"/>
    <w:rsid w:val="00F5446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3B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basedOn w:val="a"/>
    <w:uiPriority w:val="1"/>
    <w:qFormat/>
    <w:rsid w:val="005C3B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C3B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2018-05-04T08:04:00Z</dcterms:created>
  <dcterms:modified xsi:type="dcterms:W3CDTF">2018-05-04T08:04:00Z</dcterms:modified>
</cp:coreProperties>
</file>